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49" w:rsidRPr="00C92DB1" w:rsidRDefault="00CB1049" w:rsidP="00CB1049">
      <w:pPr>
        <w:rPr>
          <w:rFonts w:ascii="Arial" w:hAnsi="Arial" w:cs="Arial"/>
        </w:rPr>
      </w:pPr>
      <w:r w:rsidRPr="00C92DB1">
        <w:rPr>
          <w:rFonts w:ascii="Arial" w:hAnsi="Arial" w:cs="Arial"/>
        </w:rPr>
        <w:t>Date :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969"/>
        <w:gridCol w:w="2200"/>
        <w:gridCol w:w="3717"/>
      </w:tblGrid>
      <w:tr w:rsidR="00CB1049" w:rsidRPr="00C92DB1" w:rsidTr="00CB1049">
        <w:trPr>
          <w:cantSplit/>
          <w:trHeight w:hRule="exact" w:val="851"/>
        </w:trPr>
        <w:tc>
          <w:tcPr>
            <w:tcW w:w="1612" w:type="dxa"/>
            <w:vMerge w:val="restart"/>
            <w:tcBorders>
              <w:top w:val="nil"/>
              <w:left w:val="nil"/>
              <w:bottom w:val="nil"/>
              <w:right w:val="nil"/>
            </w:tcBorders>
            <w:vAlign w:val="center"/>
          </w:tcPr>
          <w:p w:rsidR="00CB1049" w:rsidRPr="00C92DB1" w:rsidRDefault="00967990" w:rsidP="00523A6B">
            <w:pPr>
              <w:jc w:val="center"/>
              <w:rPr>
                <w:rFonts w:ascii="Arial" w:hAnsi="Arial" w:cs="Arial"/>
              </w:rPr>
            </w:pPr>
            <w:r w:rsidRPr="00C92DB1">
              <w:rPr>
                <w:rFonts w:ascii="Arial" w:hAnsi="Arial" w:cs="Arial"/>
                <w:noProof/>
                <w:lang w:val="fr-BE" w:eastAsia="fr-BE"/>
              </w:rPr>
              <w:drawing>
                <wp:anchor distT="0" distB="0" distL="114300" distR="114300" simplePos="0" relativeHeight="251664384" behindDoc="0" locked="0" layoutInCell="1" allowOverlap="1" wp14:anchorId="4D371A89" wp14:editId="5601CA9E">
                  <wp:simplePos x="0" y="0"/>
                  <wp:positionH relativeFrom="column">
                    <wp:posOffset>-33655</wp:posOffset>
                  </wp:positionH>
                  <wp:positionV relativeFrom="paragraph">
                    <wp:posOffset>358140</wp:posOffset>
                  </wp:positionV>
                  <wp:extent cx="808355" cy="8299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829945"/>
                          </a:xfrm>
                          <a:prstGeom prst="rect">
                            <a:avLst/>
                          </a:prstGeom>
                          <a:noFill/>
                          <a:ln>
                            <a:noFill/>
                          </a:ln>
                        </pic:spPr>
                      </pic:pic>
                    </a:graphicData>
                  </a:graphic>
                </wp:anchor>
              </w:drawing>
            </w:r>
          </w:p>
        </w:tc>
        <w:tc>
          <w:tcPr>
            <w:tcW w:w="4169" w:type="dxa"/>
            <w:gridSpan w:val="2"/>
            <w:tcBorders>
              <w:top w:val="nil"/>
              <w:left w:val="nil"/>
              <w:right w:val="nil"/>
            </w:tcBorders>
            <w:vAlign w:val="center"/>
          </w:tcPr>
          <w:p w:rsidR="00CB1049" w:rsidRPr="00C92DB1" w:rsidRDefault="00CB1049" w:rsidP="00523A6B">
            <w:pPr>
              <w:rPr>
                <w:rFonts w:ascii="Arial" w:hAnsi="Arial" w:cs="Arial"/>
                <w:sz w:val="44"/>
                <w:szCs w:val="44"/>
              </w:rPr>
            </w:pPr>
            <w:r w:rsidRPr="00C92DB1">
              <w:rPr>
                <w:rFonts w:ascii="Arial" w:hAnsi="Arial" w:cs="Arial"/>
                <w:sz w:val="44"/>
                <w:szCs w:val="44"/>
              </w:rPr>
              <w:t>TECHNOLOGIE</w:t>
            </w:r>
          </w:p>
        </w:tc>
        <w:tc>
          <w:tcPr>
            <w:tcW w:w="3717" w:type="dxa"/>
            <w:tcBorders>
              <w:top w:val="nil"/>
              <w:left w:val="nil"/>
              <w:right w:val="nil"/>
            </w:tcBorders>
            <w:vAlign w:val="center"/>
          </w:tcPr>
          <w:p w:rsidR="00CB1049" w:rsidRPr="00C92DB1" w:rsidRDefault="00CB1049" w:rsidP="00523A6B">
            <w:pPr>
              <w:rPr>
                <w:rFonts w:ascii="Arial" w:hAnsi="Arial" w:cs="Arial"/>
                <w:sz w:val="16"/>
                <w:szCs w:val="20"/>
              </w:rPr>
            </w:pPr>
          </w:p>
          <w:p w:rsidR="00CB1049" w:rsidRPr="00C92DB1" w:rsidRDefault="005D619D" w:rsidP="00B12C42">
            <w:pPr>
              <w:rPr>
                <w:rFonts w:ascii="Arial" w:hAnsi="Arial" w:cs="Arial"/>
                <w:sz w:val="20"/>
                <w:szCs w:val="20"/>
              </w:rPr>
            </w:pPr>
            <w:r w:rsidRPr="00C92DB1">
              <w:rPr>
                <w:rFonts w:ascii="Arial" w:hAnsi="Arial" w:cs="Arial"/>
                <w:sz w:val="20"/>
                <w:szCs w:val="20"/>
              </w:rPr>
              <w:t>Formation : 1°CAP PAR</w:t>
            </w:r>
          </w:p>
        </w:tc>
      </w:tr>
      <w:tr w:rsidR="00967990" w:rsidRPr="00C92DB1" w:rsidTr="00057AA2">
        <w:trPr>
          <w:cantSplit/>
          <w:trHeight w:hRule="exact" w:val="851"/>
        </w:trPr>
        <w:tc>
          <w:tcPr>
            <w:tcW w:w="1612" w:type="dxa"/>
            <w:vMerge/>
            <w:tcBorders>
              <w:top w:val="nil"/>
              <w:left w:val="nil"/>
              <w:bottom w:val="nil"/>
            </w:tcBorders>
          </w:tcPr>
          <w:p w:rsidR="00967990" w:rsidRPr="00C92DB1" w:rsidRDefault="00967990" w:rsidP="00523A6B">
            <w:pPr>
              <w:jc w:val="center"/>
              <w:rPr>
                <w:rFonts w:ascii="Arial" w:hAnsi="Arial" w:cs="Arial"/>
              </w:rPr>
            </w:pPr>
          </w:p>
        </w:tc>
        <w:tc>
          <w:tcPr>
            <w:tcW w:w="1969" w:type="dxa"/>
            <w:tcBorders>
              <w:right w:val="nil"/>
            </w:tcBorders>
            <w:vAlign w:val="center"/>
          </w:tcPr>
          <w:p w:rsidR="00967990" w:rsidRPr="00C92DB1" w:rsidRDefault="00967990" w:rsidP="00523A6B">
            <w:pPr>
              <w:jc w:val="center"/>
              <w:rPr>
                <w:rFonts w:ascii="Arial" w:hAnsi="Arial" w:cs="Arial"/>
                <w:sz w:val="44"/>
                <w:szCs w:val="44"/>
              </w:rPr>
            </w:pPr>
          </w:p>
        </w:tc>
        <w:tc>
          <w:tcPr>
            <w:tcW w:w="5917" w:type="dxa"/>
            <w:gridSpan w:val="2"/>
            <w:tcBorders>
              <w:left w:val="nil"/>
            </w:tcBorders>
            <w:vAlign w:val="center"/>
          </w:tcPr>
          <w:p w:rsidR="00967990" w:rsidRPr="00C92DB1" w:rsidRDefault="00967990" w:rsidP="00967990">
            <w:pPr>
              <w:rPr>
                <w:rFonts w:ascii="Arial" w:hAnsi="Arial" w:cs="Arial"/>
                <w:color w:val="000000" w:themeColor="text1"/>
              </w:rPr>
            </w:pPr>
            <w:r w:rsidRPr="00C92DB1">
              <w:rPr>
                <w:rFonts w:ascii="Arial" w:hAnsi="Arial" w:cs="Arial"/>
                <w:b/>
                <w:bCs/>
                <w:color w:val="0000FF"/>
                <w:sz w:val="28"/>
                <w:szCs w:val="28"/>
              </w:rPr>
              <w:t>LES RISQUES PROFESSIONNELS</w:t>
            </w:r>
          </w:p>
        </w:tc>
      </w:tr>
    </w:tbl>
    <w:p w:rsidR="00CB1049" w:rsidRPr="00C92DB1" w:rsidRDefault="004E6752">
      <w:pPr>
        <w:rPr>
          <w:rFonts w:ascii="Arial" w:hAnsi="Arial" w:cs="Arial"/>
        </w:rPr>
      </w:pPr>
      <w:r w:rsidRPr="00C92DB1">
        <w:rPr>
          <w:rFonts w:ascii="Arial" w:hAnsi="Arial" w:cs="Arial"/>
          <w:noProof/>
          <w:lang w:val="fr-BE" w:eastAsia="fr-BE"/>
        </w:rPr>
        <w:drawing>
          <wp:anchor distT="0" distB="0" distL="114300" distR="114300" simplePos="0" relativeHeight="251659264" behindDoc="0" locked="0" layoutInCell="1" allowOverlap="1" wp14:anchorId="1DC6E8DD" wp14:editId="72E03B7A">
            <wp:simplePos x="0" y="0"/>
            <wp:positionH relativeFrom="column">
              <wp:posOffset>4519930</wp:posOffset>
            </wp:positionH>
            <wp:positionV relativeFrom="paragraph">
              <wp:posOffset>47625</wp:posOffset>
            </wp:positionV>
            <wp:extent cx="1534160" cy="581025"/>
            <wp:effectExtent l="1905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534160" cy="581025"/>
                    </a:xfrm>
                    <a:prstGeom prst="rect">
                      <a:avLst/>
                    </a:prstGeom>
                    <a:noFill/>
                    <a:ln w="9525">
                      <a:noFill/>
                      <a:miter lim="800000"/>
                      <a:headEnd/>
                      <a:tailEnd/>
                    </a:ln>
                  </pic:spPr>
                </pic:pic>
              </a:graphicData>
            </a:graphic>
          </wp:anchor>
        </w:drawing>
      </w:r>
    </w:p>
    <w:p w:rsidR="002E3AD7" w:rsidRPr="00C92DB1" w:rsidRDefault="002E3AD7" w:rsidP="002E3AD7">
      <w:pPr>
        <w:rPr>
          <w:rFonts w:ascii="Arial" w:hAnsi="Arial" w:cs="Arial"/>
          <w:bCs/>
          <w:iCs/>
          <w:sz w:val="16"/>
          <w:szCs w:val="16"/>
        </w:rPr>
      </w:pPr>
    </w:p>
    <w:p w:rsidR="002E3AD7" w:rsidRPr="00C92DB1" w:rsidRDefault="002E3AD7" w:rsidP="001475BD">
      <w:pPr>
        <w:rPr>
          <w:rFonts w:ascii="Arial" w:hAnsi="Arial" w:cs="Arial"/>
          <w:b/>
          <w:bCs/>
          <w:iCs/>
          <w:u w:val="single"/>
        </w:rPr>
      </w:pPr>
      <w:r w:rsidRPr="00C92DB1">
        <w:rPr>
          <w:rFonts w:ascii="Arial" w:hAnsi="Arial" w:cs="Arial"/>
          <w:b/>
          <w:bCs/>
          <w:iCs/>
          <w:u w:val="single"/>
        </w:rPr>
        <w:t>LES  DIFFERENTS  RISQUES  PROFESSIONNELS :</w:t>
      </w:r>
    </w:p>
    <w:p w:rsidR="002E3AD7" w:rsidRPr="00C92DB1" w:rsidRDefault="002E3AD7" w:rsidP="002E3AD7">
      <w:pPr>
        <w:rPr>
          <w:rFonts w:ascii="Arial" w:hAnsi="Arial" w:cs="Arial"/>
          <w:bCs/>
          <w:iCs/>
        </w:rPr>
      </w:pPr>
    </w:p>
    <w:p w:rsidR="002E3AD7" w:rsidRPr="00C92DB1" w:rsidRDefault="002E3AD7" w:rsidP="001475BD">
      <w:pPr>
        <w:rPr>
          <w:rFonts w:ascii="Arial" w:hAnsi="Arial" w:cs="Arial"/>
          <w:b/>
          <w:bCs/>
          <w:iCs/>
        </w:rPr>
      </w:pPr>
      <w:r w:rsidRPr="00C92DB1">
        <w:rPr>
          <w:rFonts w:ascii="Arial" w:hAnsi="Arial" w:cs="Arial"/>
          <w:b/>
          <w:bCs/>
          <w:iCs/>
        </w:rPr>
        <w:t>Risque de chute de plain pied :</w:t>
      </w:r>
    </w:p>
    <w:p w:rsidR="002E3AD7" w:rsidRPr="00C92DB1" w:rsidRDefault="002E3AD7" w:rsidP="002E3AD7">
      <w:pPr>
        <w:jc w:val="both"/>
        <w:rPr>
          <w:rFonts w:ascii="Arial" w:hAnsi="Arial" w:cs="Arial"/>
        </w:rPr>
      </w:pPr>
      <w:r w:rsidRPr="00C92DB1">
        <w:rPr>
          <w:rFonts w:ascii="Arial" w:hAnsi="Arial" w:cs="Arial"/>
        </w:rPr>
        <w:t>C’est un risque de blessure causé par la chute de plain pied d’une personne. La blessure peut résulter de la chute elle-même ou du heurt d’un objet, d’une partie de machine ou de mobilier.</w:t>
      </w:r>
    </w:p>
    <w:p w:rsidR="002E3AD7" w:rsidRPr="00C92DB1" w:rsidRDefault="002E3AD7" w:rsidP="002E3AD7">
      <w:pPr>
        <w:jc w:val="both"/>
        <w:rPr>
          <w:rFonts w:ascii="Arial" w:hAnsi="Arial" w:cs="Arial"/>
          <w:bCs/>
          <w:iCs/>
        </w:rPr>
      </w:pPr>
    </w:p>
    <w:p w:rsidR="002E3AD7" w:rsidRPr="00C92DB1" w:rsidRDefault="002E3AD7" w:rsidP="001475BD">
      <w:pPr>
        <w:rPr>
          <w:rFonts w:ascii="Arial" w:hAnsi="Arial" w:cs="Arial"/>
          <w:b/>
          <w:bCs/>
          <w:iCs/>
        </w:rPr>
      </w:pPr>
      <w:r w:rsidRPr="00C92DB1">
        <w:rPr>
          <w:rFonts w:ascii="Arial" w:hAnsi="Arial" w:cs="Arial"/>
          <w:b/>
          <w:bCs/>
          <w:iCs/>
        </w:rPr>
        <w:t>Risque de chute de hauteur :</w:t>
      </w:r>
    </w:p>
    <w:p w:rsidR="002E3AD7" w:rsidRPr="00C92DB1" w:rsidRDefault="002E3AD7" w:rsidP="002E3AD7">
      <w:pPr>
        <w:jc w:val="both"/>
        <w:rPr>
          <w:rFonts w:ascii="Arial" w:hAnsi="Arial" w:cs="Arial"/>
        </w:rPr>
      </w:pPr>
      <w:r w:rsidRPr="00C92DB1">
        <w:rPr>
          <w:rFonts w:ascii="Arial" w:hAnsi="Arial" w:cs="Arial"/>
        </w:rPr>
        <w:t>C’est le risque de blessure causé par la chute d’une personne avec une différence de niveau. La blessure peut résulter de la chute elle-même ou du heurt d’une partie de machine ou d’installation. Elle est d’autant plus grave que la hauteur sera grande.</w:t>
      </w:r>
    </w:p>
    <w:p w:rsidR="004E6752" w:rsidRPr="00C92DB1" w:rsidRDefault="004E6752" w:rsidP="004E6752">
      <w:pPr>
        <w:rPr>
          <w:rFonts w:ascii="Arial" w:hAnsi="Arial" w:cs="Arial"/>
          <w:b/>
          <w:smallCaps/>
          <w:u w:val="single"/>
        </w:rPr>
      </w:pPr>
    </w:p>
    <w:p w:rsidR="002E3AD7" w:rsidRPr="00C92DB1" w:rsidRDefault="002E3AD7" w:rsidP="002E3AD7">
      <w:pPr>
        <w:rPr>
          <w:rFonts w:ascii="Arial" w:hAnsi="Arial" w:cs="Arial"/>
          <w:b/>
          <w:bCs/>
          <w:iCs/>
        </w:rPr>
      </w:pPr>
      <w:r w:rsidRPr="00C92DB1">
        <w:rPr>
          <w:rFonts w:ascii="Arial" w:hAnsi="Arial" w:cs="Arial"/>
          <w:b/>
          <w:bCs/>
          <w:iCs/>
        </w:rPr>
        <w:t>Risque lié à la manutention manuelle :</w:t>
      </w:r>
    </w:p>
    <w:p w:rsidR="002E3AD7" w:rsidRPr="00C92DB1" w:rsidRDefault="002E3AD7" w:rsidP="002E3AD7">
      <w:pPr>
        <w:jc w:val="both"/>
        <w:rPr>
          <w:rFonts w:ascii="Arial" w:hAnsi="Arial" w:cs="Arial"/>
        </w:rPr>
      </w:pPr>
      <w:r w:rsidRPr="00C92DB1">
        <w:rPr>
          <w:rFonts w:ascii="Arial" w:hAnsi="Arial" w:cs="Arial"/>
        </w:rPr>
        <w:t>C’est un risque de blessure et dans certain cas de maladie professionnelle, consécutive à des efforts physiques, des écrasements, des chocs, des gestes répétitifs de mauvaises postures.</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rPr>
      </w:pPr>
      <w:r w:rsidRPr="00C92DB1">
        <w:rPr>
          <w:rFonts w:ascii="Arial" w:hAnsi="Arial" w:cs="Arial"/>
          <w:b/>
          <w:bCs/>
          <w:iCs/>
        </w:rPr>
        <w:t>Risque lié à la manutention mécanique</w:t>
      </w:r>
      <w:r w:rsidRPr="00C92DB1">
        <w:rPr>
          <w:rFonts w:ascii="Arial" w:hAnsi="Arial" w:cs="Arial"/>
          <w:b/>
        </w:rPr>
        <w:t> :</w:t>
      </w:r>
    </w:p>
    <w:p w:rsidR="002E3AD7" w:rsidRPr="00C92DB1" w:rsidRDefault="002E3AD7" w:rsidP="002E3AD7">
      <w:pPr>
        <w:jc w:val="both"/>
        <w:rPr>
          <w:rFonts w:ascii="Arial" w:hAnsi="Arial" w:cs="Arial"/>
        </w:rPr>
      </w:pPr>
      <w:r w:rsidRPr="00C92DB1">
        <w:rPr>
          <w:rFonts w:ascii="Arial" w:hAnsi="Arial" w:cs="Arial"/>
        </w:rPr>
        <w:t>C’est le risque de blessure qui peut être lié à la circulation des engins mobiles (collision, dérapage, écrasement), à la charge manutentionnée (chute, heurt, renversement)</w:t>
      </w:r>
      <w:r w:rsidR="001475BD" w:rsidRPr="00C92DB1">
        <w:rPr>
          <w:rFonts w:ascii="Arial" w:hAnsi="Arial" w:cs="Arial"/>
        </w:rPr>
        <w:t xml:space="preserve">, au moyen de manutention </w:t>
      </w:r>
      <w:r w:rsidRPr="00C92DB1">
        <w:rPr>
          <w:rFonts w:ascii="Arial" w:hAnsi="Arial" w:cs="Arial"/>
        </w:rPr>
        <w:t>(rupture, défaillance).</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aux circulations sur le chantier :</w:t>
      </w:r>
    </w:p>
    <w:p w:rsidR="002E3AD7" w:rsidRPr="00C92DB1" w:rsidRDefault="002E3AD7" w:rsidP="002E3AD7">
      <w:pPr>
        <w:jc w:val="both"/>
        <w:rPr>
          <w:rFonts w:ascii="Arial" w:hAnsi="Arial" w:cs="Arial"/>
        </w:rPr>
      </w:pPr>
      <w:r w:rsidRPr="00C92DB1">
        <w:rPr>
          <w:rFonts w:ascii="Arial" w:hAnsi="Arial" w:cs="Arial"/>
        </w:rPr>
        <w:t>C’est un risque de blessure résultant du heurt d’une personne par un véhicule (camion, fourgon, automobile), de la collision de véhicules ou contre un obstacle au sein du chantier.</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aux effondrements et aux chutesd’objets :</w:t>
      </w:r>
    </w:p>
    <w:p w:rsidR="002E3AD7" w:rsidRPr="00C92DB1" w:rsidRDefault="002E3AD7" w:rsidP="002E3AD7">
      <w:pPr>
        <w:jc w:val="both"/>
        <w:rPr>
          <w:rFonts w:ascii="Arial" w:hAnsi="Arial" w:cs="Arial"/>
        </w:rPr>
      </w:pPr>
      <w:r w:rsidRPr="00C92DB1">
        <w:rPr>
          <w:rFonts w:ascii="Arial" w:hAnsi="Arial" w:cs="Arial"/>
        </w:rPr>
        <w:t>C’est un risque de blessure qui résulte de la chute d’objets provenant de stockage, de manutention en hauteur ou de l’effondrement de matériaux.</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aux machines et aux outils :</w:t>
      </w:r>
    </w:p>
    <w:p w:rsidR="002E3AD7" w:rsidRPr="00C92DB1" w:rsidRDefault="002E3AD7" w:rsidP="002E3AD7">
      <w:pPr>
        <w:jc w:val="both"/>
        <w:rPr>
          <w:rFonts w:ascii="Arial" w:hAnsi="Arial" w:cs="Arial"/>
        </w:rPr>
      </w:pPr>
      <w:r w:rsidRPr="00C92DB1">
        <w:rPr>
          <w:rFonts w:ascii="Arial" w:hAnsi="Arial" w:cs="Arial"/>
        </w:rPr>
        <w:t>C’est un risque de blessure par l’action mécanique (coupure, perforation, écrasement, entraînement), d’une machine, d’une partie de machine, d’un outil portatif ou à main.</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et nuisance liés au bruit :</w:t>
      </w:r>
    </w:p>
    <w:p w:rsidR="002E3AD7" w:rsidRPr="00C92DB1" w:rsidRDefault="002E3AD7" w:rsidP="002E3AD7">
      <w:pPr>
        <w:jc w:val="both"/>
        <w:rPr>
          <w:rFonts w:ascii="Arial" w:hAnsi="Arial" w:cs="Arial"/>
        </w:rPr>
      </w:pPr>
      <w:r w:rsidRPr="00C92DB1">
        <w:rPr>
          <w:rFonts w:ascii="Arial" w:hAnsi="Arial" w:cs="Arial"/>
        </w:rPr>
        <w:t>Le bru</w:t>
      </w:r>
      <w:r w:rsidR="0091120C" w:rsidRPr="00C92DB1">
        <w:rPr>
          <w:rFonts w:ascii="Arial" w:hAnsi="Arial" w:cs="Arial"/>
        </w:rPr>
        <w:t xml:space="preserve">it est une source d’inconfort, </w:t>
      </w:r>
      <w:r w:rsidRPr="00C92DB1">
        <w:rPr>
          <w:rFonts w:ascii="Arial" w:hAnsi="Arial" w:cs="Arial"/>
        </w:rPr>
        <w:t>il entrave la communication orale, gêne l’exécution des tâches délicates. Dans le cas d’exposition sur une longue période, il peut provoquer une surdité irréversible.</w:t>
      </w:r>
    </w:p>
    <w:p w:rsidR="002E3AD7" w:rsidRPr="00C92DB1" w:rsidRDefault="002E3AD7" w:rsidP="002E3AD7">
      <w:pPr>
        <w:jc w:val="both"/>
        <w:rPr>
          <w:rFonts w:ascii="Arial" w:hAnsi="Arial" w:cs="Arial"/>
        </w:rPr>
      </w:pPr>
    </w:p>
    <w:p w:rsidR="002E3AD7" w:rsidRPr="00C92DB1" w:rsidRDefault="002E3AD7" w:rsidP="001475BD">
      <w:pPr>
        <w:jc w:val="both"/>
        <w:rPr>
          <w:rFonts w:ascii="Arial" w:hAnsi="Arial" w:cs="Arial"/>
          <w:b/>
          <w:bCs/>
          <w:iCs/>
        </w:rPr>
      </w:pPr>
      <w:r w:rsidRPr="00C92DB1">
        <w:rPr>
          <w:rFonts w:ascii="Arial" w:hAnsi="Arial" w:cs="Arial"/>
          <w:b/>
          <w:bCs/>
          <w:iCs/>
        </w:rPr>
        <w:t>Risque lié aux produits, aux émissions et aux déchets :</w:t>
      </w:r>
    </w:p>
    <w:p w:rsidR="002E3AD7" w:rsidRPr="00C92DB1" w:rsidRDefault="002E3AD7" w:rsidP="002E3AD7">
      <w:pPr>
        <w:jc w:val="both"/>
        <w:rPr>
          <w:rFonts w:ascii="Arial" w:hAnsi="Arial" w:cs="Arial"/>
        </w:rPr>
      </w:pPr>
      <w:r w:rsidRPr="00C92DB1">
        <w:rPr>
          <w:rFonts w:ascii="Arial" w:hAnsi="Arial" w:cs="Arial"/>
        </w:rPr>
        <w:t xml:space="preserve">C’est un risque d’infection, d’intoxication, d’allergie, de brûlure par inhalation ou contact cutané de produits mis en œuvre ou émis sous forme de gaz, de particules solides ou liquides. Dans certaines conditions, il peut en résulter des maladies professionnelles.  </w:t>
      </w:r>
    </w:p>
    <w:p w:rsidR="002E3AD7" w:rsidRPr="00C92DB1" w:rsidRDefault="002E3AD7" w:rsidP="002E3AD7">
      <w:pPr>
        <w:jc w:val="both"/>
        <w:rPr>
          <w:rFonts w:ascii="Arial" w:hAnsi="Arial" w:cs="Arial"/>
        </w:rPr>
      </w:pPr>
    </w:p>
    <w:p w:rsidR="001475BD" w:rsidRPr="00C92DB1" w:rsidRDefault="001475BD" w:rsidP="002E3AD7">
      <w:pPr>
        <w:jc w:val="both"/>
        <w:rPr>
          <w:rFonts w:ascii="Arial" w:hAnsi="Arial" w:cs="Arial"/>
        </w:rPr>
      </w:pPr>
    </w:p>
    <w:p w:rsidR="001475BD" w:rsidRPr="00C92DB1" w:rsidRDefault="001475BD" w:rsidP="001475BD">
      <w:pPr>
        <w:jc w:val="right"/>
        <w:rPr>
          <w:rFonts w:ascii="Arial" w:hAnsi="Arial" w:cs="Arial"/>
        </w:rPr>
      </w:pPr>
      <w:r w:rsidRPr="00C92DB1">
        <w:rPr>
          <w:rFonts w:ascii="Arial" w:hAnsi="Arial" w:cs="Arial"/>
        </w:rPr>
        <w:t>1</w:t>
      </w:r>
    </w:p>
    <w:p w:rsidR="001475BD" w:rsidRPr="00C92DB1" w:rsidRDefault="001475BD" w:rsidP="001475BD">
      <w:pPr>
        <w:rPr>
          <w:rFonts w:ascii="Arial" w:hAnsi="Arial" w:cs="Arial"/>
        </w:rPr>
      </w:pPr>
    </w:p>
    <w:p w:rsidR="001475BD" w:rsidRPr="00C92DB1" w:rsidRDefault="001475BD" w:rsidP="001475BD">
      <w:pPr>
        <w:rPr>
          <w:rFonts w:ascii="Arial" w:hAnsi="Arial" w:cs="Arial"/>
        </w:rPr>
      </w:pPr>
    </w:p>
    <w:p w:rsidR="001475BD" w:rsidRPr="00C92DB1" w:rsidRDefault="001475BD" w:rsidP="001475BD">
      <w:pPr>
        <w:rPr>
          <w:rFonts w:ascii="Arial" w:hAnsi="Arial" w:cs="Arial"/>
        </w:rPr>
      </w:pPr>
      <w:r w:rsidRPr="00C92DB1">
        <w:rPr>
          <w:rFonts w:ascii="Arial" w:hAnsi="Arial" w:cs="Arial"/>
        </w:rPr>
        <w:t>Date :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969"/>
        <w:gridCol w:w="2200"/>
        <w:gridCol w:w="3717"/>
      </w:tblGrid>
      <w:tr w:rsidR="001475BD" w:rsidRPr="00C92DB1" w:rsidTr="00523A6B">
        <w:trPr>
          <w:cantSplit/>
          <w:trHeight w:hRule="exact" w:val="851"/>
        </w:trPr>
        <w:tc>
          <w:tcPr>
            <w:tcW w:w="1612" w:type="dxa"/>
            <w:vMerge w:val="restart"/>
            <w:tcBorders>
              <w:top w:val="nil"/>
              <w:left w:val="nil"/>
              <w:bottom w:val="nil"/>
              <w:right w:val="nil"/>
            </w:tcBorders>
            <w:vAlign w:val="center"/>
          </w:tcPr>
          <w:p w:rsidR="001475BD" w:rsidRPr="00C92DB1" w:rsidRDefault="00967990" w:rsidP="00523A6B">
            <w:pPr>
              <w:jc w:val="center"/>
              <w:rPr>
                <w:rFonts w:ascii="Arial" w:hAnsi="Arial" w:cs="Arial"/>
              </w:rPr>
            </w:pPr>
            <w:r w:rsidRPr="00C92DB1">
              <w:rPr>
                <w:rFonts w:ascii="Arial" w:hAnsi="Arial" w:cs="Arial"/>
                <w:noProof/>
                <w:lang w:val="fr-BE" w:eastAsia="fr-BE"/>
              </w:rPr>
              <w:drawing>
                <wp:anchor distT="0" distB="0" distL="114300" distR="114300" simplePos="0" relativeHeight="251666432" behindDoc="0" locked="0" layoutInCell="1" allowOverlap="1" wp14:anchorId="1F56A551" wp14:editId="5A10E0C7">
                  <wp:simplePos x="0" y="0"/>
                  <wp:positionH relativeFrom="column">
                    <wp:posOffset>33020</wp:posOffset>
                  </wp:positionH>
                  <wp:positionV relativeFrom="paragraph">
                    <wp:posOffset>302260</wp:posOffset>
                  </wp:positionV>
                  <wp:extent cx="808355" cy="8299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829945"/>
                          </a:xfrm>
                          <a:prstGeom prst="rect">
                            <a:avLst/>
                          </a:prstGeom>
                          <a:noFill/>
                          <a:ln>
                            <a:noFill/>
                          </a:ln>
                        </pic:spPr>
                      </pic:pic>
                    </a:graphicData>
                  </a:graphic>
                </wp:anchor>
              </w:drawing>
            </w:r>
          </w:p>
        </w:tc>
        <w:tc>
          <w:tcPr>
            <w:tcW w:w="4169" w:type="dxa"/>
            <w:gridSpan w:val="2"/>
            <w:tcBorders>
              <w:top w:val="nil"/>
              <w:left w:val="nil"/>
              <w:right w:val="nil"/>
            </w:tcBorders>
            <w:vAlign w:val="center"/>
          </w:tcPr>
          <w:p w:rsidR="001475BD" w:rsidRPr="00C92DB1" w:rsidRDefault="001475BD" w:rsidP="00523A6B">
            <w:pPr>
              <w:rPr>
                <w:rFonts w:ascii="Arial" w:hAnsi="Arial" w:cs="Arial"/>
                <w:sz w:val="44"/>
                <w:szCs w:val="44"/>
              </w:rPr>
            </w:pPr>
            <w:r w:rsidRPr="00C92DB1">
              <w:rPr>
                <w:rFonts w:ascii="Arial" w:hAnsi="Arial" w:cs="Arial"/>
                <w:sz w:val="44"/>
                <w:szCs w:val="44"/>
              </w:rPr>
              <w:t>TECHNOLOGIE</w:t>
            </w:r>
          </w:p>
        </w:tc>
        <w:tc>
          <w:tcPr>
            <w:tcW w:w="3717" w:type="dxa"/>
            <w:tcBorders>
              <w:top w:val="nil"/>
              <w:left w:val="nil"/>
              <w:right w:val="nil"/>
            </w:tcBorders>
            <w:vAlign w:val="center"/>
          </w:tcPr>
          <w:p w:rsidR="001475BD" w:rsidRPr="00C92DB1" w:rsidRDefault="005D619D" w:rsidP="00523A6B">
            <w:pPr>
              <w:rPr>
                <w:rFonts w:ascii="Arial" w:hAnsi="Arial" w:cs="Arial"/>
                <w:sz w:val="20"/>
                <w:szCs w:val="20"/>
              </w:rPr>
            </w:pPr>
            <w:r w:rsidRPr="00C92DB1">
              <w:rPr>
                <w:rFonts w:ascii="Arial" w:hAnsi="Arial" w:cs="Arial"/>
                <w:sz w:val="20"/>
                <w:szCs w:val="20"/>
              </w:rPr>
              <w:t>Formation : 1°CAP PAR</w:t>
            </w:r>
          </w:p>
        </w:tc>
      </w:tr>
      <w:tr w:rsidR="00967990" w:rsidRPr="00C92DB1" w:rsidTr="0098161B">
        <w:trPr>
          <w:cantSplit/>
          <w:trHeight w:hRule="exact" w:val="851"/>
        </w:trPr>
        <w:tc>
          <w:tcPr>
            <w:tcW w:w="1612" w:type="dxa"/>
            <w:vMerge/>
            <w:tcBorders>
              <w:top w:val="nil"/>
              <w:left w:val="nil"/>
              <w:bottom w:val="nil"/>
            </w:tcBorders>
          </w:tcPr>
          <w:p w:rsidR="00967990" w:rsidRPr="00C92DB1" w:rsidRDefault="00967990" w:rsidP="00523A6B">
            <w:pPr>
              <w:jc w:val="center"/>
              <w:rPr>
                <w:rFonts w:ascii="Arial" w:hAnsi="Arial" w:cs="Arial"/>
              </w:rPr>
            </w:pPr>
          </w:p>
        </w:tc>
        <w:tc>
          <w:tcPr>
            <w:tcW w:w="1969" w:type="dxa"/>
            <w:tcBorders>
              <w:right w:val="nil"/>
            </w:tcBorders>
            <w:vAlign w:val="center"/>
          </w:tcPr>
          <w:p w:rsidR="00967990" w:rsidRPr="00C92DB1" w:rsidRDefault="00967990" w:rsidP="00523A6B">
            <w:pPr>
              <w:jc w:val="center"/>
              <w:rPr>
                <w:rFonts w:ascii="Arial" w:hAnsi="Arial" w:cs="Arial"/>
                <w:sz w:val="44"/>
                <w:szCs w:val="44"/>
              </w:rPr>
            </w:pPr>
          </w:p>
        </w:tc>
        <w:tc>
          <w:tcPr>
            <w:tcW w:w="5917" w:type="dxa"/>
            <w:gridSpan w:val="2"/>
            <w:tcBorders>
              <w:left w:val="nil"/>
            </w:tcBorders>
            <w:vAlign w:val="center"/>
          </w:tcPr>
          <w:p w:rsidR="00967990" w:rsidRPr="00C92DB1" w:rsidRDefault="00967990" w:rsidP="00967990">
            <w:pPr>
              <w:rPr>
                <w:rFonts w:ascii="Arial" w:hAnsi="Arial" w:cs="Arial"/>
              </w:rPr>
            </w:pPr>
            <w:r w:rsidRPr="00C92DB1">
              <w:rPr>
                <w:rFonts w:ascii="Arial" w:hAnsi="Arial" w:cs="Arial"/>
                <w:b/>
                <w:bCs/>
                <w:color w:val="0000FF"/>
                <w:sz w:val="28"/>
                <w:szCs w:val="28"/>
              </w:rPr>
              <w:t xml:space="preserve">LES RISQUES PROFESSIONNELS </w:t>
            </w:r>
          </w:p>
        </w:tc>
      </w:tr>
    </w:tbl>
    <w:p w:rsidR="001475BD" w:rsidRPr="00C92DB1" w:rsidRDefault="001475BD" w:rsidP="001475BD">
      <w:pPr>
        <w:rPr>
          <w:rFonts w:ascii="Arial" w:hAnsi="Arial" w:cs="Arial"/>
        </w:rPr>
      </w:pPr>
      <w:r w:rsidRPr="00C92DB1">
        <w:rPr>
          <w:rFonts w:ascii="Arial" w:hAnsi="Arial" w:cs="Arial"/>
          <w:noProof/>
          <w:lang w:val="fr-BE" w:eastAsia="fr-BE"/>
        </w:rPr>
        <w:drawing>
          <wp:anchor distT="0" distB="0" distL="114300" distR="114300" simplePos="0" relativeHeight="251662336" behindDoc="0" locked="0" layoutInCell="1" allowOverlap="1" wp14:anchorId="548C0FA7" wp14:editId="1C415FF3">
            <wp:simplePos x="0" y="0"/>
            <wp:positionH relativeFrom="column">
              <wp:posOffset>4519930</wp:posOffset>
            </wp:positionH>
            <wp:positionV relativeFrom="paragraph">
              <wp:posOffset>47625</wp:posOffset>
            </wp:positionV>
            <wp:extent cx="1534160" cy="581025"/>
            <wp:effectExtent l="19050" t="0" r="889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534160" cy="581025"/>
                    </a:xfrm>
                    <a:prstGeom prst="rect">
                      <a:avLst/>
                    </a:prstGeom>
                    <a:noFill/>
                    <a:ln w="9525">
                      <a:noFill/>
                      <a:miter lim="800000"/>
                      <a:headEnd/>
                      <a:tailEnd/>
                    </a:ln>
                  </pic:spPr>
                </pic:pic>
              </a:graphicData>
            </a:graphic>
          </wp:anchor>
        </w:drawing>
      </w:r>
    </w:p>
    <w:p w:rsidR="001475BD" w:rsidRPr="00C92DB1" w:rsidRDefault="001475BD" w:rsidP="001475BD">
      <w:pPr>
        <w:rPr>
          <w:rFonts w:ascii="Arial" w:hAnsi="Arial" w:cs="Arial"/>
        </w:rPr>
      </w:pPr>
    </w:p>
    <w:p w:rsidR="001475BD" w:rsidRPr="00C92DB1" w:rsidRDefault="001475BD"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d’incendie, d’explosion :</w:t>
      </w:r>
    </w:p>
    <w:p w:rsidR="002E3AD7" w:rsidRPr="00C92DB1" w:rsidRDefault="002E3AD7" w:rsidP="002E3AD7">
      <w:pPr>
        <w:jc w:val="both"/>
        <w:rPr>
          <w:rFonts w:ascii="Arial" w:hAnsi="Arial" w:cs="Arial"/>
        </w:rPr>
      </w:pPr>
      <w:r w:rsidRPr="00C92DB1">
        <w:rPr>
          <w:rFonts w:ascii="Arial" w:hAnsi="Arial" w:cs="Arial"/>
        </w:rPr>
        <w:t xml:space="preserve">C’est le risque de brûlure ou de blessure de personnes consécutives à un incendie ou à une explosion. Ils peuvent entraîner des dégâts matériels </w:t>
      </w:r>
      <w:r w:rsidR="0091120C" w:rsidRPr="00C92DB1">
        <w:rPr>
          <w:rFonts w:ascii="Arial" w:hAnsi="Arial" w:cs="Arial"/>
        </w:rPr>
        <w:t xml:space="preserve">et humains </w:t>
      </w:r>
      <w:r w:rsidRPr="00C92DB1">
        <w:rPr>
          <w:rFonts w:ascii="Arial" w:hAnsi="Arial" w:cs="Arial"/>
        </w:rPr>
        <w:t>très important.</w:t>
      </w:r>
    </w:p>
    <w:p w:rsidR="00CB1049" w:rsidRPr="00C92DB1" w:rsidRDefault="00CB1049">
      <w:pPr>
        <w:rPr>
          <w:rFonts w:ascii="Arial" w:hAnsi="Arial" w:cs="Arial"/>
        </w:rPr>
      </w:pPr>
    </w:p>
    <w:p w:rsidR="002E3AD7" w:rsidRPr="00C92DB1" w:rsidRDefault="002E3AD7" w:rsidP="002E3AD7">
      <w:pPr>
        <w:jc w:val="both"/>
        <w:rPr>
          <w:rFonts w:ascii="Arial" w:hAnsi="Arial" w:cs="Arial"/>
        </w:rPr>
      </w:pPr>
    </w:p>
    <w:p w:rsidR="001475BD" w:rsidRPr="00C92DB1" w:rsidRDefault="002E3AD7" w:rsidP="002E3AD7">
      <w:pPr>
        <w:jc w:val="both"/>
        <w:rPr>
          <w:rFonts w:ascii="Arial" w:hAnsi="Arial" w:cs="Arial"/>
          <w:b/>
          <w:bCs/>
          <w:iCs/>
        </w:rPr>
      </w:pPr>
      <w:r w:rsidRPr="00C92DB1">
        <w:rPr>
          <w:rFonts w:ascii="Arial" w:hAnsi="Arial" w:cs="Arial"/>
          <w:b/>
          <w:bCs/>
          <w:iCs/>
        </w:rPr>
        <w:t>Risque lié à l’électricité :</w:t>
      </w:r>
    </w:p>
    <w:p w:rsidR="002E3AD7" w:rsidRPr="00C92DB1" w:rsidRDefault="002E3AD7" w:rsidP="002E3AD7">
      <w:pPr>
        <w:jc w:val="both"/>
        <w:rPr>
          <w:rFonts w:ascii="Arial" w:hAnsi="Arial" w:cs="Arial"/>
        </w:rPr>
      </w:pPr>
      <w:r w:rsidRPr="00C92DB1">
        <w:rPr>
          <w:rFonts w:ascii="Arial" w:hAnsi="Arial" w:cs="Arial"/>
        </w:rPr>
        <w:t xml:space="preserve">C’est le risque de brûlure ou d’électrocution consécutive à un contact avec un conducteur électrique ou une partie métallique sous tension. </w:t>
      </w:r>
    </w:p>
    <w:p w:rsidR="002E3AD7" w:rsidRPr="00C92DB1" w:rsidRDefault="002E3AD7" w:rsidP="002E3AD7">
      <w:pPr>
        <w:tabs>
          <w:tab w:val="left" w:pos="3090"/>
        </w:tabs>
        <w:rPr>
          <w:rFonts w:ascii="Arial" w:hAnsi="Arial" w:cs="Arial"/>
        </w:rPr>
      </w:pPr>
      <w:r w:rsidRPr="00C92DB1">
        <w:rPr>
          <w:rFonts w:ascii="Arial" w:hAnsi="Arial" w:cs="Arial"/>
        </w:rPr>
        <w:tab/>
      </w:r>
    </w:p>
    <w:p w:rsidR="002E3AD7" w:rsidRPr="00C92DB1" w:rsidRDefault="002E3AD7" w:rsidP="002E3AD7">
      <w:pPr>
        <w:tabs>
          <w:tab w:val="left" w:pos="3090"/>
        </w:tabs>
        <w:rPr>
          <w:rFonts w:ascii="Arial" w:hAnsi="Arial" w:cs="Arial"/>
          <w:sz w:val="12"/>
        </w:rPr>
      </w:pPr>
    </w:p>
    <w:p w:rsidR="002E3AD7" w:rsidRPr="00C92DB1" w:rsidRDefault="002E3AD7" w:rsidP="002E3AD7">
      <w:pPr>
        <w:jc w:val="both"/>
        <w:rPr>
          <w:rFonts w:ascii="Arial" w:hAnsi="Arial" w:cs="Arial"/>
          <w:b/>
          <w:bCs/>
          <w:iCs/>
        </w:rPr>
      </w:pPr>
      <w:r w:rsidRPr="00C92DB1">
        <w:rPr>
          <w:rFonts w:ascii="Arial" w:hAnsi="Arial" w:cs="Arial"/>
          <w:b/>
          <w:bCs/>
          <w:iCs/>
        </w:rPr>
        <w:t>Risque lié à l’éclairage :</w:t>
      </w:r>
    </w:p>
    <w:p w:rsidR="002E3AD7" w:rsidRPr="00C92DB1" w:rsidRDefault="002E3AD7" w:rsidP="002E3AD7">
      <w:pPr>
        <w:jc w:val="both"/>
        <w:rPr>
          <w:rFonts w:ascii="Arial" w:hAnsi="Arial" w:cs="Arial"/>
        </w:rPr>
      </w:pPr>
      <w:r w:rsidRPr="00C92DB1">
        <w:rPr>
          <w:rFonts w:ascii="Arial" w:hAnsi="Arial" w:cs="Arial"/>
        </w:rPr>
        <w:t>C’est un risque de fatigue et de gêne si l’éclairage est inadapté. C’est aussi un facteur de risque de chute ou d’erreur.</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à l’utilisation d’écran :</w:t>
      </w:r>
    </w:p>
    <w:p w:rsidR="002E3AD7" w:rsidRPr="00C92DB1" w:rsidRDefault="002E3AD7" w:rsidP="002E3AD7">
      <w:pPr>
        <w:jc w:val="both"/>
        <w:rPr>
          <w:rFonts w:ascii="Arial" w:hAnsi="Arial" w:cs="Arial"/>
        </w:rPr>
      </w:pPr>
      <w:r w:rsidRPr="00C92DB1">
        <w:rPr>
          <w:rFonts w:ascii="Arial" w:hAnsi="Arial" w:cs="Arial"/>
        </w:rPr>
        <w:t>C’est le risque de fatigue visuelle.</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aux ambiances climatiques :</w:t>
      </w:r>
    </w:p>
    <w:p w:rsidR="002E3AD7" w:rsidRPr="00C92DB1" w:rsidRDefault="002E3AD7" w:rsidP="002E3AD7">
      <w:pPr>
        <w:jc w:val="both"/>
        <w:rPr>
          <w:rFonts w:ascii="Arial" w:hAnsi="Arial" w:cs="Arial"/>
        </w:rPr>
      </w:pPr>
      <w:r w:rsidRPr="00C92DB1">
        <w:rPr>
          <w:rFonts w:ascii="Arial" w:hAnsi="Arial" w:cs="Arial"/>
        </w:rPr>
        <w:t>C’est un risque d’inconfort qui peut provoquer des fatigues ou des malaises.</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 manque d’hygiène :</w:t>
      </w:r>
    </w:p>
    <w:p w:rsidR="002E3AD7" w:rsidRPr="00C92DB1" w:rsidRDefault="002E3AD7" w:rsidP="002E3AD7">
      <w:pPr>
        <w:jc w:val="both"/>
        <w:rPr>
          <w:rFonts w:ascii="Arial" w:hAnsi="Arial" w:cs="Arial"/>
        </w:rPr>
      </w:pPr>
      <w:r w:rsidRPr="00C92DB1">
        <w:rPr>
          <w:rFonts w:ascii="Arial" w:hAnsi="Arial" w:cs="Arial"/>
        </w:rPr>
        <w:t xml:space="preserve">C’est un risque d’atteinte à la santé. </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à l’intervention d’une entreprise extérieur :</w:t>
      </w:r>
    </w:p>
    <w:p w:rsidR="002E3AD7" w:rsidRPr="00C92DB1" w:rsidRDefault="002E3AD7" w:rsidP="002E3AD7">
      <w:pPr>
        <w:jc w:val="both"/>
        <w:rPr>
          <w:rFonts w:ascii="Arial" w:hAnsi="Arial" w:cs="Arial"/>
        </w:rPr>
      </w:pPr>
      <w:r w:rsidRPr="00C92DB1">
        <w:rPr>
          <w:rFonts w:ascii="Arial" w:hAnsi="Arial" w:cs="Arial"/>
        </w:rPr>
        <w:t xml:space="preserve">C’est le risque d’accident qui peut être lié à la </w:t>
      </w:r>
      <w:proofErr w:type="spellStart"/>
      <w:r w:rsidRPr="00C92DB1">
        <w:rPr>
          <w:rFonts w:ascii="Arial" w:hAnsi="Arial" w:cs="Arial"/>
        </w:rPr>
        <w:t>co</w:t>
      </w:r>
      <w:proofErr w:type="spellEnd"/>
      <w:r w:rsidRPr="00C92DB1">
        <w:rPr>
          <w:rFonts w:ascii="Arial" w:hAnsi="Arial" w:cs="Arial"/>
        </w:rPr>
        <w:t xml:space="preserve">-activité de deux entreprises, </w:t>
      </w:r>
      <w:r w:rsidR="0091120C" w:rsidRPr="00C92DB1">
        <w:rPr>
          <w:rFonts w:ascii="Arial" w:hAnsi="Arial" w:cs="Arial"/>
        </w:rPr>
        <w:t xml:space="preserve">mais aussi à la méconnaissance </w:t>
      </w:r>
      <w:r w:rsidRPr="00C92DB1">
        <w:rPr>
          <w:rFonts w:ascii="Arial" w:hAnsi="Arial" w:cs="Arial"/>
        </w:rPr>
        <w:t>par chacune des entreprises, des risques que peut induire l’activité de l’autre entreprise.</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lié au manque de formation :</w:t>
      </w:r>
    </w:p>
    <w:p w:rsidR="002E3AD7" w:rsidRPr="00C92DB1" w:rsidRDefault="002E3AD7" w:rsidP="002E3AD7">
      <w:pPr>
        <w:jc w:val="both"/>
        <w:rPr>
          <w:rFonts w:ascii="Arial" w:hAnsi="Arial" w:cs="Arial"/>
        </w:rPr>
      </w:pPr>
      <w:r w:rsidRPr="00C92DB1">
        <w:rPr>
          <w:rFonts w:ascii="Arial" w:hAnsi="Arial" w:cs="Arial"/>
        </w:rPr>
        <w:t>C’est un facteur de risque d’accident ou de maladie professionnelle, consécutif à la méconnaissance des bonnes pratiques de travail, des consignes de sécurité ou des règles de prévention.</w:t>
      </w:r>
    </w:p>
    <w:p w:rsidR="002E3AD7" w:rsidRPr="00C92DB1" w:rsidRDefault="002E3AD7" w:rsidP="002E3AD7">
      <w:pPr>
        <w:jc w:val="both"/>
        <w:rPr>
          <w:rFonts w:ascii="Arial" w:hAnsi="Arial" w:cs="Arial"/>
        </w:rPr>
      </w:pPr>
    </w:p>
    <w:p w:rsidR="002E3AD7" w:rsidRPr="00C92DB1" w:rsidRDefault="002E3AD7" w:rsidP="002E3AD7">
      <w:pPr>
        <w:jc w:val="both"/>
        <w:rPr>
          <w:rFonts w:ascii="Arial" w:hAnsi="Arial" w:cs="Arial"/>
          <w:b/>
          <w:bCs/>
          <w:iCs/>
        </w:rPr>
      </w:pPr>
      <w:r w:rsidRPr="00C92DB1">
        <w:rPr>
          <w:rFonts w:ascii="Arial" w:hAnsi="Arial" w:cs="Arial"/>
          <w:b/>
          <w:bCs/>
          <w:iCs/>
        </w:rPr>
        <w:t>Risque routier :</w:t>
      </w:r>
    </w:p>
    <w:p w:rsidR="002E3AD7" w:rsidRPr="00C92DB1" w:rsidRDefault="002E3AD7" w:rsidP="002E3AD7">
      <w:pPr>
        <w:jc w:val="both"/>
        <w:rPr>
          <w:rFonts w:ascii="Arial" w:hAnsi="Arial" w:cs="Arial"/>
        </w:rPr>
      </w:pPr>
      <w:r w:rsidRPr="00C92DB1">
        <w:rPr>
          <w:rFonts w:ascii="Arial" w:hAnsi="Arial" w:cs="Arial"/>
        </w:rPr>
        <w:t>C’est un risque d’accident de circulation lié au déplacement d’un salarié réalisant une mission pour le compte de son entreprise ou du trajet de son domicile sur son lieu de travail.</w:t>
      </w:r>
    </w:p>
    <w:p w:rsidR="002E3AD7" w:rsidRPr="00C92DB1" w:rsidRDefault="002E3AD7" w:rsidP="002E3AD7">
      <w:pPr>
        <w:rPr>
          <w:rFonts w:ascii="Arial" w:hAnsi="Arial" w:cs="Arial"/>
        </w:rPr>
      </w:pPr>
      <w:bookmarkStart w:id="0" w:name="_GoBack"/>
      <w:bookmarkEnd w:id="0"/>
    </w:p>
    <w:p w:rsidR="002E3AD7" w:rsidRPr="00C92DB1" w:rsidRDefault="002E3AD7" w:rsidP="002E3AD7">
      <w:pPr>
        <w:jc w:val="right"/>
        <w:rPr>
          <w:rFonts w:ascii="Arial" w:hAnsi="Arial" w:cs="Arial"/>
          <w:sz w:val="16"/>
          <w:szCs w:val="16"/>
        </w:rPr>
      </w:pPr>
      <w:r w:rsidRPr="00C92DB1">
        <w:rPr>
          <w:rFonts w:ascii="Arial" w:hAnsi="Arial" w:cs="Arial"/>
        </w:rPr>
        <w:tab/>
      </w:r>
      <w:r w:rsidRPr="00C92DB1">
        <w:rPr>
          <w:rFonts w:ascii="Arial" w:hAnsi="Arial" w:cs="Arial"/>
          <w:sz w:val="16"/>
          <w:szCs w:val="16"/>
        </w:rPr>
        <w:t>Source   INRS</w:t>
      </w:r>
    </w:p>
    <w:p w:rsidR="002E3AD7" w:rsidRPr="00C92DB1" w:rsidRDefault="002E3AD7" w:rsidP="002E3AD7">
      <w:pPr>
        <w:jc w:val="right"/>
        <w:rPr>
          <w:rFonts w:ascii="Arial" w:hAnsi="Arial" w:cs="Arial"/>
          <w:sz w:val="16"/>
          <w:szCs w:val="16"/>
        </w:rPr>
      </w:pPr>
      <w:r w:rsidRPr="00C92DB1">
        <w:rPr>
          <w:rFonts w:ascii="Arial" w:hAnsi="Arial" w:cs="Arial"/>
          <w:sz w:val="16"/>
          <w:szCs w:val="16"/>
        </w:rPr>
        <w:t>Institut National de Recherche et de Sécurité</w:t>
      </w:r>
    </w:p>
    <w:p w:rsidR="002E3AD7" w:rsidRPr="00C92DB1" w:rsidRDefault="002E3AD7" w:rsidP="002E3AD7">
      <w:pPr>
        <w:jc w:val="right"/>
        <w:rPr>
          <w:rFonts w:ascii="Arial" w:hAnsi="Arial" w:cs="Arial"/>
          <w:sz w:val="16"/>
          <w:szCs w:val="16"/>
        </w:rPr>
      </w:pPr>
      <w:r w:rsidRPr="00C92DB1">
        <w:rPr>
          <w:rFonts w:ascii="Arial" w:hAnsi="Arial" w:cs="Arial"/>
          <w:sz w:val="16"/>
          <w:szCs w:val="16"/>
        </w:rPr>
        <w:t>Evaluation des risques professionnels ; guide pour les PME – PMI</w:t>
      </w:r>
    </w:p>
    <w:p w:rsidR="00CB1049" w:rsidRPr="00C92DB1" w:rsidRDefault="00CB1049">
      <w:pPr>
        <w:rPr>
          <w:rFonts w:ascii="Arial" w:hAnsi="Arial" w:cs="Arial"/>
        </w:rPr>
      </w:pPr>
    </w:p>
    <w:p w:rsidR="00CB1049" w:rsidRPr="00C92DB1" w:rsidRDefault="001475BD" w:rsidP="001475BD">
      <w:pPr>
        <w:jc w:val="right"/>
        <w:rPr>
          <w:rFonts w:ascii="Arial" w:hAnsi="Arial" w:cs="Arial"/>
        </w:rPr>
      </w:pPr>
      <w:r w:rsidRPr="00C92DB1">
        <w:rPr>
          <w:rFonts w:ascii="Arial" w:hAnsi="Arial" w:cs="Arial"/>
        </w:rPr>
        <w:t>2</w:t>
      </w:r>
    </w:p>
    <w:sectPr w:rsidR="00CB1049" w:rsidRPr="00C92DB1" w:rsidSect="00C92DB1">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8D"/>
      </v:shape>
    </w:pict>
  </w:numPicBullet>
  <w:abstractNum w:abstractNumId="0">
    <w:nsid w:val="06FE6938"/>
    <w:multiLevelType w:val="hybridMultilevel"/>
    <w:tmpl w:val="FE582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691AB7"/>
    <w:multiLevelType w:val="hybridMultilevel"/>
    <w:tmpl w:val="FE582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F94551"/>
    <w:multiLevelType w:val="hybridMultilevel"/>
    <w:tmpl w:val="FE582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4A507E"/>
    <w:multiLevelType w:val="hybridMultilevel"/>
    <w:tmpl w:val="BD9223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9C441D"/>
    <w:multiLevelType w:val="hybridMultilevel"/>
    <w:tmpl w:val="806C52CA"/>
    <w:lvl w:ilvl="0" w:tplc="080C0007">
      <w:start w:val="1"/>
      <w:numFmt w:val="bullet"/>
      <w:lvlText w:val=""/>
      <w:lvlPicBulletId w:val="0"/>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1049"/>
    <w:rsid w:val="00002794"/>
    <w:rsid w:val="001475BD"/>
    <w:rsid w:val="002E3AD7"/>
    <w:rsid w:val="00363526"/>
    <w:rsid w:val="004E6752"/>
    <w:rsid w:val="005D619D"/>
    <w:rsid w:val="006C0CF9"/>
    <w:rsid w:val="007C28C6"/>
    <w:rsid w:val="0091120C"/>
    <w:rsid w:val="00967990"/>
    <w:rsid w:val="00B12C42"/>
    <w:rsid w:val="00B328A1"/>
    <w:rsid w:val="00BD7752"/>
    <w:rsid w:val="00C5569C"/>
    <w:rsid w:val="00C92DB1"/>
    <w:rsid w:val="00CB1049"/>
    <w:rsid w:val="00EA55DE"/>
    <w:rsid w:val="00F20FFF"/>
    <w:rsid w:val="00F669B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4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B1049"/>
    <w:pPr>
      <w:keepNext/>
      <w:jc w:val="center"/>
      <w:outlineLvl w:val="0"/>
    </w:pPr>
    <w:rPr>
      <w:b/>
      <w:bCs/>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1049"/>
    <w:rPr>
      <w:rFonts w:ascii="Times New Roman" w:eastAsia="Times New Roman" w:hAnsi="Times New Roman" w:cs="Times New Roman"/>
      <w:b/>
      <w:bCs/>
      <w:color w:val="0000FF"/>
      <w:sz w:val="28"/>
      <w:szCs w:val="28"/>
      <w:lang w:val="fr-FR" w:eastAsia="fr-FR"/>
    </w:rPr>
  </w:style>
  <w:style w:type="paragraph" w:styleId="Paragraphedeliste">
    <w:name w:val="List Paragraph"/>
    <w:basedOn w:val="Normal"/>
    <w:uiPriority w:val="34"/>
    <w:qFormat/>
    <w:rsid w:val="00CB1049"/>
    <w:pPr>
      <w:ind w:left="720"/>
      <w:contextualSpacing/>
    </w:pPr>
  </w:style>
  <w:style w:type="paragraph" w:styleId="Textedebulles">
    <w:name w:val="Balloon Text"/>
    <w:basedOn w:val="Normal"/>
    <w:link w:val="TextedebullesCar"/>
    <w:uiPriority w:val="99"/>
    <w:semiHidden/>
    <w:unhideWhenUsed/>
    <w:rsid w:val="00CB1049"/>
    <w:rPr>
      <w:rFonts w:ascii="Tahoma" w:hAnsi="Tahoma" w:cs="Tahoma"/>
      <w:sz w:val="16"/>
      <w:szCs w:val="16"/>
    </w:rPr>
  </w:style>
  <w:style w:type="character" w:customStyle="1" w:styleId="TextedebullesCar">
    <w:name w:val="Texte de bulles Car"/>
    <w:basedOn w:val="Policepardfaut"/>
    <w:link w:val="Textedebulles"/>
    <w:uiPriority w:val="99"/>
    <w:semiHidden/>
    <w:rsid w:val="00CB1049"/>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jacky</cp:lastModifiedBy>
  <cp:revision>12</cp:revision>
  <dcterms:created xsi:type="dcterms:W3CDTF">2014-09-07T15:02:00Z</dcterms:created>
  <dcterms:modified xsi:type="dcterms:W3CDTF">2017-09-17T19:06:00Z</dcterms:modified>
</cp:coreProperties>
</file>